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pacing w:before="86" w:line="360" w:lineRule="auto"/>
        <w:jc w:val="left"/>
        <w:rPr>
          <w:rFonts w:ascii="黑体" w:hAnsi="黑体" w:eastAsia="黑体" w:cs="黑体"/>
          <w:spacing w:val="10"/>
          <w:sz w:val="32"/>
          <w:szCs w:val="32"/>
        </w:rPr>
      </w:pPr>
      <w:r>
        <w:rPr>
          <w:rFonts w:hint="eastAsia" w:ascii="黑体" w:hAnsi="黑体" w:eastAsia="黑体" w:cs="黑体"/>
          <w:spacing w:val="10"/>
          <w:sz w:val="32"/>
          <w:szCs w:val="32"/>
        </w:rPr>
        <w:t>附件1</w:t>
      </w:r>
    </w:p>
    <w:p>
      <w:pPr>
        <w:snapToGrid w:val="0"/>
        <w:spacing w:line="317" w:lineRule="auto"/>
        <w:jc w:val="center"/>
        <w:rPr>
          <w:rFonts w:ascii="微软雅黑" w:eastAsia="微软雅黑"/>
          <w:sz w:val="44"/>
          <w:szCs w:val="44"/>
        </w:rPr>
      </w:pPr>
      <w:r>
        <w:rPr>
          <w:rFonts w:hint="eastAsia" w:ascii="微软雅黑" w:eastAsia="微软雅黑"/>
          <w:sz w:val="44"/>
          <w:szCs w:val="44"/>
        </w:rPr>
        <w:t>云南省</w:t>
      </w:r>
      <w:r>
        <w:rPr>
          <w:rFonts w:hint="eastAsia" w:ascii="微软雅黑" w:eastAsia="微软雅黑"/>
          <w:sz w:val="44"/>
          <w:szCs w:val="44"/>
          <w:lang w:eastAsia="zh-CN"/>
        </w:rPr>
        <w:t>大理市</w:t>
      </w:r>
      <w:r>
        <w:rPr>
          <w:rFonts w:hint="eastAsia" w:ascii="微软雅黑" w:eastAsia="微软雅黑"/>
          <w:sz w:val="44"/>
          <w:szCs w:val="44"/>
        </w:rPr>
        <w:t>烟草制品零售点</w:t>
      </w:r>
    </w:p>
    <w:p>
      <w:pPr>
        <w:snapToGrid w:val="0"/>
        <w:spacing w:line="317" w:lineRule="auto"/>
        <w:jc w:val="center"/>
        <w:rPr>
          <w:rFonts w:ascii="微软雅黑" w:eastAsia="微软雅黑"/>
          <w:sz w:val="44"/>
          <w:szCs w:val="44"/>
        </w:rPr>
      </w:pPr>
      <w:r>
        <w:rPr>
          <w:rFonts w:hint="eastAsia" w:ascii="微软雅黑" w:eastAsia="微软雅黑"/>
          <w:sz w:val="44"/>
          <w:szCs w:val="44"/>
        </w:rPr>
        <w:t>间距测量规则及标准</w:t>
      </w:r>
    </w:p>
    <w:p/>
    <w:p>
      <w:pPr>
        <w:widowControl/>
        <w:tabs>
          <w:tab w:val="left" w:pos="2723"/>
        </w:tabs>
        <w:spacing w:before="86"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根据</w:t>
      </w:r>
      <w:r>
        <w:rPr>
          <w:rFonts w:hint="eastAsia" w:ascii="仿宋_GB2312" w:hAnsi="仿宋_GB2312" w:eastAsia="仿宋_GB2312" w:cs="仿宋_GB2312"/>
          <w:spacing w:val="10"/>
          <w:sz w:val="32"/>
          <w:szCs w:val="32"/>
          <w:lang w:eastAsia="zh-CN"/>
        </w:rPr>
        <w:t>大理市</w:t>
      </w:r>
      <w:r>
        <w:rPr>
          <w:rFonts w:hint="eastAsia" w:ascii="仿宋_GB2312" w:hAnsi="仿宋_GB2312" w:eastAsia="仿宋_GB2312" w:cs="仿宋_GB2312"/>
          <w:spacing w:val="10"/>
          <w:sz w:val="32"/>
          <w:szCs w:val="32"/>
        </w:rPr>
        <w:t>辖区实际情况，现明确《云南省</w:t>
      </w:r>
      <w:r>
        <w:rPr>
          <w:rFonts w:hint="eastAsia" w:ascii="仿宋_GB2312" w:hAnsi="仿宋_GB2312" w:eastAsia="仿宋_GB2312" w:cs="仿宋_GB2312"/>
          <w:spacing w:val="10"/>
          <w:sz w:val="32"/>
          <w:szCs w:val="32"/>
          <w:lang w:eastAsia="zh-CN"/>
        </w:rPr>
        <w:t>大理市</w:t>
      </w:r>
      <w:r>
        <w:rPr>
          <w:rFonts w:hint="eastAsia" w:ascii="仿宋_GB2312" w:hAnsi="仿宋_GB2312" w:eastAsia="仿宋_GB2312" w:cs="仿宋_GB2312"/>
          <w:spacing w:val="10"/>
          <w:sz w:val="32"/>
          <w:szCs w:val="32"/>
        </w:rPr>
        <w:t>烟草制品零售点合理布局规划》第七条中有关的“零售点间距”测量规则及标准如下：</w:t>
      </w:r>
    </w:p>
    <w:p>
      <w:pPr>
        <w:widowControl/>
        <w:spacing w:before="86"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一、测量规则</w:t>
      </w:r>
    </w:p>
    <w:p>
      <w:pPr>
        <w:pStyle w:val="11"/>
        <w:numPr>
          <w:ilvl w:val="0"/>
          <w:numId w:val="1"/>
        </w:numPr>
        <w:ind w:firstLineChars="0"/>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现场核查零售点间距的测量以“可安全步行最短距离”为总体原则，其他未穷尽列举的情形均参照本原则测量。</w:t>
      </w:r>
    </w:p>
    <w:p>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应当使用符合国家距离测量标准的测量工具。</w:t>
      </w:r>
    </w:p>
    <w:p>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hint="eastAsia" w:ascii="仿宋_GB2312" w:hAnsi="仿宋_GB2312" w:eastAsia="仿宋_GB2312" w:cs="仿宋_GB2312"/>
          <w:spacing w:val="10"/>
          <w:sz w:val="32"/>
          <w:szCs w:val="32"/>
        </w:rPr>
        <w:t>零售点间距</w:t>
      </w:r>
      <w:r>
        <w:rPr>
          <w:rFonts w:hint="eastAsia" w:ascii="仿宋_GB2312" w:hAnsi="仿宋_GB2312" w:eastAsia="仿宋_GB2312" w:cs="仿宋_GB2312"/>
          <w:sz w:val="32"/>
          <w:szCs w:val="32"/>
        </w:rPr>
        <w:t>”是指申请点与参照零售点（周边已设最近的零售点）之间按“门边到门边”原则进行测量。测量数据精确到小数点后一位，如“30.0米”或“100.0米”。</w:t>
      </w:r>
    </w:p>
    <w:p>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实地测量时，由两名及以上烟草专卖执法核查人员在申请人或代理人现场见证下完成。最后由申请人或代理人对测量工具、测量过程、测量结果进行书面签字确认。申请人或代理人拒绝签字的，由核查人员在实地核查记录上注明情况，由见证人签字。测量过程应当全过程记录，包括但不限于文字记录和音像记录。</w:t>
      </w:r>
    </w:p>
    <w:p>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测量</w:t>
      </w:r>
      <w:r>
        <w:rPr>
          <w:rFonts w:hint="eastAsia" w:ascii="仿宋_GB2312" w:hAnsi="仿宋_GB2312" w:eastAsia="仿宋_GB2312" w:cs="仿宋_GB2312"/>
          <w:sz w:val="32"/>
          <w:szCs w:val="32"/>
          <w:lang w:bidi="ug-CN"/>
        </w:rPr>
        <w:t>间距距离时，应使用具备准确刻度的</w:t>
      </w:r>
      <w:r>
        <w:rPr>
          <w:rFonts w:hint="eastAsia" w:ascii="仿宋_GB2312" w:hAnsi="仿宋_GB2312" w:eastAsia="仿宋_GB2312" w:cs="仿宋_GB2312"/>
          <w:kern w:val="0"/>
          <w:sz w:val="32"/>
          <w:szCs w:val="32"/>
          <w:lang w:bidi="ug-CN"/>
        </w:rPr>
        <w:t>测量工具。测量结果介于零售点间距距离的标准值正</w:t>
      </w:r>
      <w:r>
        <w:rPr>
          <w:rFonts w:hint="eastAsia" w:ascii="仿宋_GB2312" w:hAnsi="仿宋_GB2312" w:eastAsia="仿宋_GB2312" w:cs="仿宋_GB2312"/>
          <w:sz w:val="32"/>
          <w:szCs w:val="32"/>
        </w:rPr>
        <w:t>负百分之二范围以内的情况下，如果申请人、代理人或利害关系人对该结果有异议，可以申请重新实地测量一次，以最后一次测量结果为准。测量时，申请人或代理人、利害关系人和烟草核查人员须同时全程在场。</w:t>
      </w:r>
    </w:p>
    <w:p>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政府有关部门在街道或道路中设置的行人隔离带（栏）、绿化带等视为障碍物，测量时应当按道路交通规则绕行。</w:t>
      </w:r>
    </w:p>
    <w:p>
      <w:pPr>
        <w:widowControl/>
        <w:numPr>
          <w:ilvl w:val="0"/>
          <w:numId w:val="1"/>
        </w:numPr>
        <w:spacing w:before="86" w:line="360" w:lineRule="auto"/>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不视为障碍物的情形：在通行道路上临时设置的安全设施；临时放置的建筑材料、物品、车辆等；擅自设立、建造的建筑物、构筑物或其他物体等；以及因施工影响通行的围挡设施。</w:t>
      </w:r>
    </w:p>
    <w:p>
      <w:pPr>
        <w:widowControl/>
        <w:spacing w:before="86" w:line="360" w:lineRule="auto"/>
        <w:ind w:firstLine="640" w:firstLineChars="200"/>
        <w:jc w:val="left"/>
        <w:rPr>
          <w:rFonts w:ascii="黑体" w:hAnsi="黑体" w:eastAsia="黑体" w:cs="黑体"/>
          <w:sz w:val="32"/>
          <w:szCs w:val="32"/>
        </w:rPr>
      </w:pPr>
      <w:r>
        <w:rPr>
          <w:rFonts w:hint="eastAsia" w:ascii="黑体" w:hAnsi="黑体" w:eastAsia="黑体" w:cs="黑体"/>
          <w:sz w:val="32"/>
          <w:szCs w:val="32"/>
        </w:rPr>
        <w:t>二、测量标准</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店面同一侧无障碍物距离测量示意图，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间距。（如图1）</w:t>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970020" cy="1748155"/>
            <wp:effectExtent l="0" t="0" r="11430" b="4445"/>
            <wp:docPr id="23" name="图片 23" descr="微信图片_20231212104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微信图片_20231212104854"/>
                    <pic:cNvPicPr>
                      <a:picLocks noChangeAspect="1"/>
                    </pic:cNvPicPr>
                  </pic:nvPicPr>
                  <pic:blipFill>
                    <a:blip r:embed="rId5"/>
                    <a:stretch>
                      <a:fillRect/>
                    </a:stretch>
                  </pic:blipFill>
                  <pic:spPr>
                    <a:xfrm>
                      <a:off x="0" y="0"/>
                      <a:ext cx="3970020" cy="174815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图1</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店面同一侧有障碍物距离测量示意图，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间距=a+b+c+d+e。（如图2）</w:t>
      </w:r>
    </w:p>
    <w:p>
      <w:pPr>
        <w:pStyle w:val="3"/>
        <w:spacing w:after="0" w:line="360" w:lineRule="auto"/>
        <w:ind w:right="2"/>
        <w:rPr>
          <w:rFonts w:ascii="仿宋_GB2312" w:hAnsi="仿宋_GB2312" w:eastAsia="仿宋_GB2312" w:cs="仿宋_GB2312"/>
          <w:b/>
          <w:bCs/>
          <w:spacing w:val="10"/>
          <w:sz w:val="32"/>
          <w:szCs w:val="32"/>
        </w:rPr>
      </w:pPr>
      <w:r>
        <w:rPr>
          <w:rFonts w:hint="eastAsia" w:ascii="仿宋_GB2312" w:hAnsi="仿宋_GB2312" w:eastAsia="仿宋_GB2312" w:cs="仿宋_GB2312"/>
          <w:b/>
          <w:bCs/>
          <w:spacing w:val="10"/>
          <w:sz w:val="32"/>
          <w:szCs w:val="32"/>
        </w:rPr>
        <w:drawing>
          <wp:inline distT="0" distB="0" distL="114300" distR="114300">
            <wp:extent cx="5777865" cy="2081530"/>
            <wp:effectExtent l="0" t="0" r="13335" b="13970"/>
            <wp:docPr id="13" name="图片 13" descr="95a3e317d608213e56999ba429828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95a3e317d608213e56999ba429828da"/>
                    <pic:cNvPicPr>
                      <a:picLocks noChangeAspect="1"/>
                    </pic:cNvPicPr>
                  </pic:nvPicPr>
                  <pic:blipFill>
                    <a:blip r:embed="rId6"/>
                    <a:stretch>
                      <a:fillRect/>
                    </a:stretch>
                  </pic:blipFill>
                  <pic:spPr>
                    <a:xfrm>
                      <a:off x="0" y="0"/>
                      <a:ext cx="5777865" cy="2081530"/>
                    </a:xfrm>
                    <a:prstGeom prst="rect">
                      <a:avLst/>
                    </a:prstGeom>
                  </pic:spPr>
                </pic:pic>
              </a:graphicData>
            </a:graphic>
          </wp:inline>
        </w:drawing>
      </w:r>
    </w:p>
    <w:p>
      <w:pPr>
        <w:pStyle w:val="3"/>
        <w:spacing w:after="0" w:line="360" w:lineRule="auto"/>
        <w:ind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图2</w:t>
      </w:r>
    </w:p>
    <w:p>
      <w:pPr>
        <w:pStyle w:val="3"/>
        <w:numPr>
          <w:ilvl w:val="0"/>
          <w:numId w:val="2"/>
        </w:numPr>
        <w:spacing w:after="0" w:line="360" w:lineRule="auto"/>
        <w:ind w:left="-10" w:leftChars="0" w:right="2" w:firstLine="64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异侧无障碍物，且道路无隔离带（包括无任何禁止通行交通标志的路段或有可通行的单虚线）和斑马线情形，可安全步行的。</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（1）申请点与参照零售点对称的，间距=a（如图3.1）</w:t>
      </w:r>
    </w:p>
    <w:p>
      <w:pPr>
        <w:pStyle w:val="3"/>
        <w:spacing w:after="0" w:line="360" w:lineRule="auto"/>
        <w:ind w:right="3"/>
        <w:rPr>
          <w:rFonts w:ascii="仿宋_GB2312" w:hAnsi="仿宋_GB2312" w:eastAsia="仿宋_GB2312" w:cs="仿宋_GB2312"/>
          <w:sz w:val="32"/>
          <w:szCs w:val="32"/>
        </w:rPr>
      </w:pP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934585" cy="2446020"/>
            <wp:effectExtent l="0" t="0" r="18415" b="11430"/>
            <wp:docPr id="2" name="图片 2" descr="63bdaea5065e1670b868335705003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63bdaea5065e1670b868335705003e0"/>
                    <pic:cNvPicPr>
                      <a:picLocks noChangeAspect="1"/>
                    </pic:cNvPicPr>
                  </pic:nvPicPr>
                  <pic:blipFill>
                    <a:blip r:embed="rId7"/>
                    <a:stretch>
                      <a:fillRect/>
                    </a:stretch>
                  </pic:blipFill>
                  <pic:spPr>
                    <a:xfrm>
                      <a:off x="0" y="0"/>
                      <a:ext cx="4934585" cy="2446020"/>
                    </a:xfrm>
                    <a:prstGeom prst="rect">
                      <a:avLst/>
                    </a:prstGeom>
                  </pic:spPr>
                </pic:pic>
              </a:graphicData>
            </a:graphic>
          </wp:inline>
        </w:drawing>
      </w:r>
    </w:p>
    <w:p>
      <w:pPr>
        <w:pStyle w:val="3"/>
        <w:spacing w:after="0" w:line="360" w:lineRule="auto"/>
        <w:ind w:right="3"/>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图3.1</w:t>
      </w:r>
    </w:p>
    <w:p>
      <w:pPr>
        <w:pStyle w:val="3"/>
        <w:spacing w:after="0" w:line="360" w:lineRule="auto"/>
        <w:ind w:right="2" w:firstLine="64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（2）</w:t>
      </w:r>
      <w:r>
        <w:rPr>
          <w:rFonts w:hint="eastAsia" w:ascii="仿宋_GB2312" w:hAnsi="仿宋_GB2312" w:eastAsia="仿宋_GB2312" w:cs="仿宋_GB2312"/>
          <w:spacing w:val="10"/>
          <w:sz w:val="32"/>
          <w:szCs w:val="32"/>
        </w:rPr>
        <w:t>申请点与参照零售点不对称的，间距=b（如图3.2）</w:t>
      </w:r>
    </w:p>
    <w:p>
      <w:pPr>
        <w:pStyle w:val="3"/>
        <w:spacing w:after="0" w:line="360" w:lineRule="auto"/>
        <w:ind w:right="2"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5015865" cy="2638425"/>
            <wp:effectExtent l="0" t="0" r="13335" b="9525"/>
            <wp:docPr id="3" name="图片 3" descr="fae0954c900ff944af7dff9ce511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fae0954c900ff944af7dff9ce511727"/>
                    <pic:cNvPicPr>
                      <a:picLocks noChangeAspect="1"/>
                    </pic:cNvPicPr>
                  </pic:nvPicPr>
                  <pic:blipFill>
                    <a:blip r:embed="rId8"/>
                    <a:stretch>
                      <a:fillRect/>
                    </a:stretch>
                  </pic:blipFill>
                  <pic:spPr>
                    <a:xfrm>
                      <a:off x="0" y="0"/>
                      <a:ext cx="5015865" cy="2638425"/>
                    </a:xfrm>
                    <a:prstGeom prst="rect">
                      <a:avLst/>
                    </a:prstGeom>
                  </pic:spPr>
                </pic:pic>
              </a:graphicData>
            </a:graphic>
          </wp:inline>
        </w:drawing>
      </w:r>
    </w:p>
    <w:p>
      <w:pPr>
        <w:pStyle w:val="3"/>
        <w:spacing w:after="0" w:line="360" w:lineRule="auto"/>
        <w:ind w:left="420" w:leftChars="200" w:right="2" w:firstLine="68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pacing w:val="10"/>
          <w:sz w:val="32"/>
          <w:szCs w:val="32"/>
        </w:rPr>
        <w:t>图3.2</w:t>
      </w:r>
      <w:r>
        <w:rPr>
          <w:rFonts w:hint="eastAsia" w:ascii="仿宋_GB2312" w:hAnsi="仿宋_GB2312" w:eastAsia="仿宋_GB2312" w:cs="仿宋_GB2312"/>
          <w:sz w:val="32"/>
          <w:szCs w:val="32"/>
          <w:lang w:bidi="ug-CN"/>
        </w:rPr>
        <w:tab/>
      </w:r>
    </w:p>
    <w:p>
      <w:pPr>
        <w:pStyle w:val="3"/>
        <w:numPr>
          <w:ilvl w:val="0"/>
          <w:numId w:val="2"/>
        </w:numPr>
        <w:spacing w:after="0" w:line="360" w:lineRule="auto"/>
        <w:ind w:left="-10" w:leftChars="0" w:right="2" w:firstLine="64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异侧存在障碍物的，测量按直角分段绕过障碍物测量，分段距离之和即为申请人的经营场所与最近零售点的经营场所间的距离。间距=a+b+c（如图4）</w:t>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drawing>
          <wp:inline distT="0" distB="0" distL="114300" distR="114300">
            <wp:extent cx="5194300" cy="2531745"/>
            <wp:effectExtent l="0" t="0" r="6350" b="1905"/>
            <wp:docPr id="15" name="图片 15" descr="93bb69265f29e745628043b5bcf20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3bb69265f29e745628043b5bcf20da"/>
                    <pic:cNvPicPr>
                      <a:picLocks noChangeAspect="1"/>
                    </pic:cNvPicPr>
                  </pic:nvPicPr>
                  <pic:blipFill>
                    <a:blip r:embed="rId9"/>
                    <a:stretch>
                      <a:fillRect/>
                    </a:stretch>
                  </pic:blipFill>
                  <pic:spPr>
                    <a:xfrm>
                      <a:off x="0" y="0"/>
                      <a:ext cx="5194300" cy="2531745"/>
                    </a:xfrm>
                    <a:prstGeom prst="rect">
                      <a:avLst/>
                    </a:prstGeom>
                  </pic:spPr>
                </pic:pic>
              </a:graphicData>
            </a:graphic>
          </wp:inline>
        </w:drawing>
      </w:r>
    </w:p>
    <w:p>
      <w:pPr>
        <w:pStyle w:val="3"/>
        <w:tabs>
          <w:tab w:val="left" w:pos="8197"/>
        </w:tabs>
        <w:spacing w:after="0" w:line="360" w:lineRule="auto"/>
        <w:ind w:right="3" w:firstLine="640" w:firstLineChars="200"/>
        <w:jc w:val="center"/>
        <w:rPr>
          <w:rFonts w:ascii="仿宋_GB2312" w:hAnsi="仿宋_GB2312" w:eastAsia="仿宋_GB2312" w:cs="仿宋_GB2312"/>
          <w:sz w:val="32"/>
          <w:szCs w:val="32"/>
          <w:lang w:bidi="ug-CN"/>
        </w:rPr>
      </w:pPr>
      <w:r>
        <w:rPr>
          <w:rFonts w:hint="eastAsia" w:ascii="仿宋_GB2312" w:hAnsi="仿宋_GB2312" w:eastAsia="仿宋_GB2312" w:cs="仿宋_GB2312"/>
          <w:sz w:val="32"/>
          <w:szCs w:val="32"/>
          <w:lang w:bidi="ug-CN"/>
        </w:rPr>
        <w:t>图4</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店面背靠背距离测量示意图，</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间距=a+b+c。（如图5）</w:t>
      </w:r>
    </w:p>
    <w:p>
      <w:pPr>
        <w:pStyle w:val="3"/>
        <w:spacing w:after="0" w:line="360" w:lineRule="auto"/>
        <w:ind w:right="3" w:firstLine="420" w:firstLineChars="200"/>
        <w:jc w:val="center"/>
        <w:rPr>
          <w:rFonts w:ascii="仿宋_GB2312" w:hAnsi="仿宋_GB2312" w:eastAsia="仿宋_GB2312" w:cs="仿宋_GB2312"/>
          <w:spacing w:val="10"/>
          <w:sz w:val="32"/>
          <w:szCs w:val="32"/>
        </w:rPr>
      </w:pPr>
      <w:r>
        <w:drawing>
          <wp:inline distT="0" distB="0" distL="114300" distR="114300">
            <wp:extent cx="4876800" cy="2405380"/>
            <wp:effectExtent l="0" t="0" r="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clrChange>
                        <a:clrFrom>
                          <a:srgbClr val="FEFFFA">
                            <a:alpha val="100000"/>
                          </a:srgbClr>
                        </a:clrFrom>
                        <a:clrTo>
                          <a:srgbClr val="FEFFFA">
                            <a:alpha val="100000"/>
                            <a:alpha val="0"/>
                          </a:srgbClr>
                        </a:clrTo>
                      </a:clrChange>
                    </a:blip>
                    <a:stretch>
                      <a:fillRect/>
                    </a:stretch>
                  </pic:blipFill>
                  <pic:spPr>
                    <a:xfrm>
                      <a:off x="0" y="0"/>
                      <a:ext cx="4876800" cy="2405380"/>
                    </a:xfrm>
                    <a:prstGeom prst="rect">
                      <a:avLst/>
                    </a:prstGeom>
                    <a:noFill/>
                    <a:ln>
                      <a:noFill/>
                    </a:ln>
                  </pic:spPr>
                </pic:pic>
              </a:graphicData>
            </a:graphic>
          </wp:inline>
        </w:drawing>
      </w:r>
    </w:p>
    <w:p>
      <w:pPr>
        <w:pStyle w:val="3"/>
        <w:spacing w:after="0" w:line="360" w:lineRule="auto"/>
        <w:ind w:right="3"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图5</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店面隔着街道转角的，分别计算沿街店面的两边距离再相加，</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间距=a+b。（如图6）</w:t>
      </w:r>
    </w:p>
    <w:p>
      <w:pPr>
        <w:pStyle w:val="3"/>
        <w:spacing w:after="0" w:line="360" w:lineRule="auto"/>
        <w:ind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768850" cy="2709545"/>
            <wp:effectExtent l="0" t="0" r="12700" b="14605"/>
            <wp:docPr id="33" name="图片 33" descr="e4103bb42dbf83929f4d95fca555f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4103bb42dbf83929f4d95fca555fcf"/>
                    <pic:cNvPicPr>
                      <a:picLocks noChangeAspect="1"/>
                    </pic:cNvPicPr>
                  </pic:nvPicPr>
                  <pic:blipFill>
                    <a:blip r:embed="rId11"/>
                    <a:srcRect t="17596"/>
                    <a:stretch>
                      <a:fillRect/>
                    </a:stretch>
                  </pic:blipFill>
                  <pic:spPr>
                    <a:xfrm>
                      <a:off x="0" y="0"/>
                      <a:ext cx="4768850" cy="2709545"/>
                    </a:xfrm>
                    <a:prstGeom prst="rect">
                      <a:avLst/>
                    </a:prstGeom>
                  </pic:spPr>
                </pic:pic>
              </a:graphicData>
            </a:graphic>
          </wp:inline>
        </w:drawing>
      </w:r>
    </w:p>
    <w:p>
      <w:pPr>
        <w:pStyle w:val="3"/>
        <w:spacing w:after="0" w:line="360" w:lineRule="auto"/>
        <w:ind w:right="6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图6</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十字路口</w:t>
      </w:r>
    </w:p>
    <w:p>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（1）申请点与参照零售点在十字路口中轴线同一半侧的道路对侧的，可参照道路对侧情况进行测量，按申请点门边至零售点门边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测量。具体测量办法视有无交通信号灯、人行横道或过街设施的路段以及障碍物情况而定。（如图7.1）</w:t>
      </w:r>
    </w:p>
    <w:p>
      <w:pPr>
        <w:pStyle w:val="3"/>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064510" cy="2741930"/>
            <wp:effectExtent l="0" t="0" r="2540" b="1270"/>
            <wp:docPr id="29" name="图片 29" descr="微信图片_2023121210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微信图片_20231212104934"/>
                    <pic:cNvPicPr>
                      <a:picLocks noChangeAspect="1"/>
                    </pic:cNvPicPr>
                  </pic:nvPicPr>
                  <pic:blipFill>
                    <a:blip r:embed="rId12"/>
                    <a:stretch>
                      <a:fillRect/>
                    </a:stretch>
                  </pic:blipFill>
                  <pic:spPr>
                    <a:xfrm>
                      <a:off x="0" y="0"/>
                      <a:ext cx="3064510" cy="2741930"/>
                    </a:xfrm>
                    <a:prstGeom prst="rect">
                      <a:avLst/>
                    </a:prstGeom>
                  </pic:spPr>
                </pic:pic>
              </a:graphicData>
            </a:graphic>
          </wp:inline>
        </w:drawing>
      </w:r>
    </w:p>
    <w:p>
      <w:pPr>
        <w:pStyle w:val="3"/>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图7.1</w:t>
      </w:r>
    </w:p>
    <w:p>
      <w:pPr>
        <w:pStyle w:val="3"/>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（2）十字路口对角（有交通信号灯、人行横道或过街设施）</w:t>
      </w:r>
    </w:p>
    <w:p>
      <w:pPr>
        <w:pStyle w:val="3"/>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申请点与参照零售点位于十字路口对角位置的，且路口中间设有交通信号灯、人行横道或过街设施的，应按照交通规则，通过人行横道或过街设施，按申请点门边至零售点门边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测量。（如图7.2中存在a、b两条线路，取其中一条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pStyle w:val="3"/>
        <w:spacing w:after="0" w:line="360" w:lineRule="auto"/>
        <w:ind w:left="420" w:leftChars="200" w:right="64"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562350" cy="3176270"/>
            <wp:effectExtent l="0" t="0" r="0" b="5080"/>
            <wp:docPr id="20" name="图片 20" descr="e3dd04eb18af5a2a848cca0133a5d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e3dd04eb18af5a2a848cca0133a5d97"/>
                    <pic:cNvPicPr>
                      <a:picLocks noChangeAspect="1"/>
                    </pic:cNvPicPr>
                  </pic:nvPicPr>
                  <pic:blipFill>
                    <a:blip r:embed="rId13"/>
                    <a:stretch>
                      <a:fillRect/>
                    </a:stretch>
                  </pic:blipFill>
                  <pic:spPr>
                    <a:xfrm>
                      <a:off x="0" y="0"/>
                      <a:ext cx="3562350" cy="3176270"/>
                    </a:xfrm>
                    <a:prstGeom prst="rect">
                      <a:avLst/>
                    </a:prstGeom>
                  </pic:spPr>
                </pic:pic>
              </a:graphicData>
            </a:graphic>
          </wp:inline>
        </w:drawing>
      </w:r>
    </w:p>
    <w:p>
      <w:pPr>
        <w:pStyle w:val="3"/>
        <w:spacing w:after="0" w:line="360" w:lineRule="auto"/>
        <w:ind w:left="420" w:leftChars="200" w:right="64" w:firstLine="3200" w:firstLineChars="1000"/>
        <w:rPr>
          <w:rFonts w:ascii="仿宋_GB2312" w:hAnsi="仿宋_GB2312" w:eastAsia="仿宋_GB2312" w:cs="仿宋_GB2312"/>
          <w:sz w:val="32"/>
          <w:szCs w:val="32"/>
        </w:rPr>
      </w:pPr>
      <w:r>
        <w:rPr>
          <w:rFonts w:hint="eastAsia" w:ascii="仿宋_GB2312" w:hAnsi="仿宋_GB2312" w:eastAsia="仿宋_GB2312" w:cs="仿宋_GB2312"/>
          <w:sz w:val="32"/>
          <w:szCs w:val="32"/>
        </w:rPr>
        <w:t>图7.2</w:t>
      </w:r>
    </w:p>
    <w:p>
      <w:pPr>
        <w:pStyle w:val="3"/>
        <w:spacing w:after="0" w:line="360" w:lineRule="auto"/>
        <w:ind w:left="420" w:leftChars="200" w:right="64" w:firstLine="640" w:firstLineChars="200"/>
        <w:jc w:val="center"/>
        <w:rPr>
          <w:rFonts w:ascii="仿宋_GB2312" w:hAnsi="仿宋_GB2312" w:eastAsia="仿宋_GB2312" w:cs="仿宋_GB2312"/>
          <w:sz w:val="32"/>
          <w:szCs w:val="32"/>
        </w:rPr>
      </w:pPr>
    </w:p>
    <w:p>
      <w:pPr>
        <w:pStyle w:val="3"/>
        <w:spacing w:after="0" w:line="360" w:lineRule="auto"/>
        <w:ind w:right="64"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（3）十字路口对角（无交通信号灯、人行横道或过街设施）</w:t>
      </w:r>
    </w:p>
    <w:p>
      <w:pPr>
        <w:pStyle w:val="3"/>
        <w:spacing w:after="0" w:line="360" w:lineRule="auto"/>
        <w:ind w:right="64"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申请点与参照零售点位于十字路口对角位置的，且路口中间未设有交通信号灯、人行横道或过街设施的，按申请点门边至零售点门边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测量。（图7.3）</w:t>
      </w:r>
    </w:p>
    <w:p>
      <w:pPr>
        <w:pStyle w:val="3"/>
        <w:spacing w:after="0" w:line="360" w:lineRule="auto"/>
        <w:ind w:left="420" w:leftChars="200" w:right="64"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2703830" cy="2475865"/>
            <wp:effectExtent l="0" t="0" r="1270" b="635"/>
            <wp:docPr id="21" name="图片 21" descr="00184291e613f2b487271c531d8edb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00184291e613f2b487271c531d8edb7"/>
                    <pic:cNvPicPr>
                      <a:picLocks noChangeAspect="1"/>
                    </pic:cNvPicPr>
                  </pic:nvPicPr>
                  <pic:blipFill>
                    <a:blip r:embed="rId14"/>
                    <a:stretch>
                      <a:fillRect/>
                    </a:stretch>
                  </pic:blipFill>
                  <pic:spPr>
                    <a:xfrm>
                      <a:off x="0" y="0"/>
                      <a:ext cx="2703830" cy="2475865"/>
                    </a:xfrm>
                    <a:prstGeom prst="rect">
                      <a:avLst/>
                    </a:prstGeom>
                  </pic:spPr>
                </pic:pic>
              </a:graphicData>
            </a:graphic>
          </wp:inline>
        </w:drawing>
      </w:r>
    </w:p>
    <w:p>
      <w:pPr>
        <w:pStyle w:val="3"/>
        <w:spacing w:after="0" w:line="360" w:lineRule="auto"/>
        <w:ind w:left="420" w:leftChars="200" w:right="64" w:firstLine="64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图7.3</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中小学校、幼儿园的测量起始点为上述学校学生正常出入的校门口。有多个进出通道口的，选择距离零售点最短的进出通道口的门边，作为测量起始点。</w:t>
      </w:r>
    </w:p>
    <w:p>
      <w:pPr>
        <w:pStyle w:val="3"/>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申请点与中小学校、幼儿园通道口之间距离测量示意图。（如图8）</w:t>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474085" cy="2620010"/>
            <wp:effectExtent l="0" t="0" r="12065" b="8890"/>
            <wp:docPr id="22" name="图片 22" descr="356d27789946a0c2406ddfd75b14e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356d27789946a0c2406ddfd75b14e94"/>
                    <pic:cNvPicPr>
                      <a:picLocks noChangeAspect="1"/>
                    </pic:cNvPicPr>
                  </pic:nvPicPr>
                  <pic:blipFill>
                    <a:blip r:embed="rId15"/>
                    <a:stretch>
                      <a:fillRect/>
                    </a:stretch>
                  </pic:blipFill>
                  <pic:spPr>
                    <a:xfrm>
                      <a:off x="0" y="0"/>
                      <a:ext cx="3474085" cy="2620010"/>
                    </a:xfrm>
                    <a:prstGeom prst="rect">
                      <a:avLst/>
                    </a:prstGeom>
                  </pic:spPr>
                </pic:pic>
              </a:graphicData>
            </a:graphic>
          </wp:inline>
        </w:drawing>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图8</w:t>
      </w:r>
    </w:p>
    <w:p>
      <w:pPr>
        <w:pStyle w:val="3"/>
        <w:numPr>
          <w:ilvl w:val="0"/>
          <w:numId w:val="2"/>
        </w:numPr>
        <w:spacing w:after="0" w:line="360" w:lineRule="auto"/>
        <w:ind w:left="-10" w:leftChars="0" w:right="2" w:firstLine="64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之间有道路隔离情形的：</w:t>
      </w:r>
    </w:p>
    <w:p>
      <w:pPr>
        <w:pStyle w:val="3"/>
        <w:numPr>
          <w:ilvl w:val="0"/>
          <w:numId w:val="3"/>
        </w:numPr>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主干道上有禁止行人行走隔离带的（包括禁止通行的双实线、单实线等交通标志），测量从隔离带最近开口处过斑马线、天桥等行人可安全步行通道，以直线距离为测量标准，申请点与参照零售点间距=a+b+c。（如图9.1）</w:t>
      </w:r>
    </w:p>
    <w:p>
      <w:pPr>
        <w:pStyle w:val="3"/>
        <w:spacing w:after="0"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4906010" cy="3133090"/>
            <wp:effectExtent l="0" t="0" r="0" b="0"/>
            <wp:docPr id="26" name="图片 26" descr="8ba54ecd243e5522fac748aa3cc0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8ba54ecd243e5522fac748aa3cc0758"/>
                    <pic:cNvPicPr>
                      <a:picLocks noChangeAspect="1"/>
                    </pic:cNvPicPr>
                  </pic:nvPicPr>
                  <pic:blipFill>
                    <a:blip r:embed="rId16">
                      <a:clrChange>
                        <a:clrFrom>
                          <a:srgbClr val="FBFCF7">
                            <a:alpha val="100000"/>
                          </a:srgbClr>
                        </a:clrFrom>
                        <a:clrTo>
                          <a:srgbClr val="FBFCF7">
                            <a:alpha val="100000"/>
                            <a:alpha val="0"/>
                          </a:srgbClr>
                        </a:clrTo>
                      </a:clrChange>
                    </a:blip>
                    <a:stretch>
                      <a:fillRect/>
                    </a:stretch>
                  </pic:blipFill>
                  <pic:spPr>
                    <a:xfrm>
                      <a:off x="0" y="0"/>
                      <a:ext cx="4906010" cy="3133090"/>
                    </a:xfrm>
                    <a:prstGeom prst="rect">
                      <a:avLst/>
                    </a:prstGeom>
                  </pic:spPr>
                </pic:pic>
              </a:graphicData>
            </a:graphic>
          </wp:inline>
        </w:drawing>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图9.1</w:t>
      </w:r>
    </w:p>
    <w:p>
      <w:pPr>
        <w:pStyle w:val="3"/>
        <w:numPr>
          <w:ilvl w:val="0"/>
          <w:numId w:val="3"/>
        </w:numPr>
        <w:spacing w:after="0" w:line="360" w:lineRule="auto"/>
        <w:ind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无隔离带（包括无任何禁止通行交通标志的路段或有可通行的单虚线），但两个零售点之间有斑马线的，按照“边对边”过斑马线垂直距离为测量标准。</w:t>
      </w: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间距=a+b+c。（如图9.2）</w:t>
      </w:r>
    </w:p>
    <w:p>
      <w:pPr>
        <w:pStyle w:val="3"/>
        <w:spacing w:after="0"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drawing>
          <wp:inline distT="0" distB="0" distL="114300" distR="114300">
            <wp:extent cx="4220210" cy="2446020"/>
            <wp:effectExtent l="0" t="0" r="8890" b="11430"/>
            <wp:docPr id="34" name="图片 34" descr="c278b0802036915e85f53d70bcbf8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c278b0802036915e85f53d70bcbf8a1"/>
                    <pic:cNvPicPr>
                      <a:picLocks noChangeAspect="1"/>
                    </pic:cNvPicPr>
                  </pic:nvPicPr>
                  <pic:blipFill>
                    <a:blip r:embed="rId17"/>
                    <a:srcRect t="11409"/>
                    <a:stretch>
                      <a:fillRect/>
                    </a:stretch>
                  </pic:blipFill>
                  <pic:spPr>
                    <a:xfrm>
                      <a:off x="0" y="0"/>
                      <a:ext cx="4220210" cy="2446020"/>
                    </a:xfrm>
                    <a:prstGeom prst="rect">
                      <a:avLst/>
                    </a:prstGeom>
                  </pic:spPr>
                </pic:pic>
              </a:graphicData>
            </a:graphic>
          </wp:inline>
        </w:drawing>
      </w:r>
      <w:bookmarkStart w:id="0" w:name="Fuzhu"/>
      <w:bookmarkEnd w:id="0"/>
      <w:bookmarkStart w:id="1" w:name="attache_title"/>
      <w:bookmarkEnd w:id="1"/>
    </w:p>
    <w:p>
      <w:pPr>
        <w:spacing w:line="360" w:lineRule="auto"/>
        <w:ind w:right="-512" w:rightChars="-244"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图9.2</w:t>
      </w:r>
    </w:p>
    <w:p>
      <w:pPr>
        <w:spacing w:line="360" w:lineRule="auto"/>
        <w:ind w:firstLine="680" w:firstLineChars="200"/>
        <w:jc w:val="left"/>
        <w:rPr>
          <w:rFonts w:ascii="仿宋_GB2312" w:hAnsi="仿宋_GB2312" w:eastAsia="仿宋_GB2312" w:cs="仿宋_GB2312"/>
          <w:spacing w:val="10"/>
          <w:sz w:val="32"/>
          <w:szCs w:val="32"/>
        </w:rPr>
      </w:pPr>
    </w:p>
    <w:p>
      <w:pPr>
        <w:pStyle w:val="3"/>
        <w:numPr>
          <w:ilvl w:val="0"/>
          <w:numId w:val="2"/>
        </w:numPr>
        <w:spacing w:after="0" w:line="360" w:lineRule="auto"/>
        <w:ind w:left="-10" w:leftChars="0" w:right="2" w:firstLine="680" w:firstLineChars="0"/>
        <w:jc w:val="left"/>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各类综合性商品批发市场、专业市场、集贸市场内部距离测量示意图，</w:t>
      </w:r>
      <w:r>
        <w:rPr>
          <w:rFonts w:hint="eastAsia" w:ascii="仿宋_GB2312" w:hAnsi="仿宋_GB2312" w:eastAsia="仿宋_GB2312" w:cs="仿宋_GB2312"/>
          <w:sz w:val="32"/>
          <w:szCs w:val="32"/>
        </w:rPr>
        <w:t>申请点与参照零售点间距</w:t>
      </w:r>
      <w:r>
        <w:rPr>
          <w:rFonts w:hint="eastAsia" w:ascii="仿宋_GB2312" w:hAnsi="仿宋_GB2312" w:eastAsia="仿宋_GB2312" w:cs="仿宋_GB2312"/>
          <w:spacing w:val="10"/>
          <w:sz w:val="32"/>
          <w:szCs w:val="32"/>
        </w:rPr>
        <w:t>=a+b+c。（如图10）</w:t>
      </w:r>
    </w:p>
    <w:p>
      <w:pPr>
        <w:spacing w:line="360" w:lineRule="auto"/>
        <w:ind w:firstLine="680" w:firstLineChars="200"/>
        <w:jc w:val="center"/>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drawing>
          <wp:inline distT="0" distB="0" distL="114300" distR="114300">
            <wp:extent cx="3851275" cy="2245360"/>
            <wp:effectExtent l="0" t="0" r="15875" b="2540"/>
            <wp:docPr id="36" name="图片 36" descr="2f67498772cdcce961f622af2fa8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2f67498772cdcce961f622af2fa8684"/>
                    <pic:cNvPicPr>
                      <a:picLocks noChangeAspect="1"/>
                    </pic:cNvPicPr>
                  </pic:nvPicPr>
                  <pic:blipFill>
                    <a:blip r:embed="rId18"/>
                    <a:stretch>
                      <a:fillRect/>
                    </a:stretch>
                  </pic:blipFill>
                  <pic:spPr>
                    <a:xfrm>
                      <a:off x="0" y="0"/>
                      <a:ext cx="3851275" cy="2245360"/>
                    </a:xfrm>
                    <a:prstGeom prst="rect">
                      <a:avLst/>
                    </a:prstGeom>
                  </pic:spPr>
                </pic:pic>
              </a:graphicData>
            </a:graphic>
          </wp:inline>
        </w:drawing>
      </w:r>
    </w:p>
    <w:p>
      <w:pPr>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图10</w:t>
      </w:r>
    </w:p>
    <w:p>
      <w:pPr>
        <w:pStyle w:val="3"/>
        <w:numPr>
          <w:ilvl w:val="0"/>
          <w:numId w:val="2"/>
        </w:numPr>
        <w:spacing w:after="0" w:line="360" w:lineRule="auto"/>
        <w:ind w:left="-10" w:leftChars="0" w:right="2" w:firstLine="640" w:firstLineChars="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申请点与参照零售点</w:t>
      </w:r>
      <w:r>
        <w:rPr>
          <w:rFonts w:hint="eastAsia" w:ascii="仿宋_GB2312" w:hAnsi="仿宋_GB2312" w:eastAsia="仿宋_GB2312" w:cs="仿宋_GB2312"/>
          <w:spacing w:val="10"/>
          <w:sz w:val="32"/>
          <w:szCs w:val="32"/>
        </w:rPr>
        <w:t>的经营场所之间有台阶、楼梯的，以其平面坡长进行测量；有电梯的，以层高进行测量；楼梯与电梯并存的，以最短距离的为准。（如图11）</w:t>
      </w:r>
    </w:p>
    <w:p>
      <w:pPr>
        <w:spacing w:line="360" w:lineRule="auto"/>
        <w:ind w:firstLine="640" w:firstLineChars="200"/>
        <w:jc w:val="center"/>
        <w:rPr>
          <w:rFonts w:ascii="仿宋_GB2312" w:hAnsi="仿宋_GB2312" w:eastAsia="仿宋_GB2312" w:cs="仿宋_GB2312"/>
          <w:sz w:val="32"/>
          <w:szCs w:val="32"/>
        </w:rPr>
      </w:pPr>
      <w:bookmarkStart w:id="2" w:name="_GoBack"/>
      <w:r>
        <w:rPr>
          <w:rFonts w:hint="eastAsia" w:ascii="仿宋_GB2312" w:hAnsi="仿宋_GB2312" w:eastAsia="仿宋_GB2312" w:cs="仿宋_GB2312"/>
          <w:sz w:val="32"/>
          <w:szCs w:val="32"/>
        </w:rPr>
        <w:drawing>
          <wp:inline distT="0" distB="0" distL="114300" distR="114300">
            <wp:extent cx="5163185" cy="2213610"/>
            <wp:effectExtent l="0" t="0" r="18415" b="15240"/>
            <wp:docPr id="37" name="图片 37" descr="b08fff5a5926b05bdda889babaaeb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b08fff5a5926b05bdda889babaaeb28"/>
                    <pic:cNvPicPr>
                      <a:picLocks noChangeAspect="1"/>
                    </pic:cNvPicPr>
                  </pic:nvPicPr>
                  <pic:blipFill>
                    <a:blip r:embed="rId19"/>
                    <a:stretch>
                      <a:fillRect/>
                    </a:stretch>
                  </pic:blipFill>
                  <pic:spPr>
                    <a:xfrm>
                      <a:off x="0" y="0"/>
                      <a:ext cx="5163185" cy="2213610"/>
                    </a:xfrm>
                    <a:prstGeom prst="rect">
                      <a:avLst/>
                    </a:prstGeom>
                  </pic:spPr>
                </pic:pic>
              </a:graphicData>
            </a:graphic>
          </wp:inline>
        </w:drawing>
      </w:r>
      <w:bookmarkEnd w:id="2"/>
    </w:p>
    <w:p>
      <w:pPr>
        <w:tabs>
          <w:tab w:val="left" w:pos="1331"/>
        </w:tabs>
        <w:spacing w:line="360" w:lineRule="auto"/>
        <w:ind w:firstLine="680" w:firstLineChars="200"/>
        <w:jc w:val="center"/>
        <w:rPr>
          <w:rFonts w:ascii="仿宋_GB2312" w:hAnsi="仿宋_GB2312" w:eastAsia="仿宋_GB2312" w:cs="仿宋_GB2312"/>
          <w:sz w:val="32"/>
          <w:szCs w:val="32"/>
        </w:rPr>
      </w:pPr>
      <w:r>
        <w:rPr>
          <w:rFonts w:hint="eastAsia" w:ascii="仿宋_GB2312" w:hAnsi="仿宋_GB2312" w:eastAsia="仿宋_GB2312" w:cs="仿宋_GB2312"/>
          <w:spacing w:val="10"/>
          <w:sz w:val="32"/>
          <w:szCs w:val="32"/>
        </w:rPr>
        <w:t>图11</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申请点或零售点多门情况</w:t>
      </w:r>
    </w:p>
    <w:p>
      <w:pPr>
        <w:pStyle w:val="3"/>
        <w:spacing w:after="0" w:line="360" w:lineRule="auto"/>
        <w:ind w:right="2" w:firstLine="680" w:firstLineChars="20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申请人经营场所门面多面（多间）贯通且多面经营的，测量起始点的选取规则是：申请人与参照零售点之间距离最近的门面为起始点测量。</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（1）道路同侧情况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申请点出入口较多，取与最近零售点经营场所最短的出入口进行测量。（如图12.1）</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4333875" cy="2213610"/>
            <wp:effectExtent l="0" t="0" r="9525" b="21590"/>
            <wp:docPr id="38" name="图片 38" descr="b861e0d0513f560d18e101d62e6c6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b861e0d0513f560d18e101d62e6c6ff"/>
                    <pic:cNvPicPr>
                      <a:picLocks noChangeAspect="1"/>
                    </pic:cNvPicPr>
                  </pic:nvPicPr>
                  <pic:blipFill>
                    <a:blip r:embed="rId20"/>
                    <a:stretch>
                      <a:fillRect/>
                    </a:stretch>
                  </pic:blipFill>
                  <pic:spPr>
                    <a:xfrm rot="10800000" flipH="1" flipV="1">
                      <a:off x="0" y="0"/>
                      <a:ext cx="4333875" cy="221361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图12.1</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（2）十字路口情况</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A.申请点与参照零售点在十字路口中轴线同一半侧的道路对侧的，取申请点至零售点最近一侧的门边，测量</w:t>
      </w:r>
      <w:r>
        <w:rPr>
          <w:rFonts w:hint="eastAsia" w:ascii="仿宋_GB2312" w:hAnsi="仿宋_GB2312" w:eastAsia="仿宋_GB2312" w:cs="仿宋_GB2312"/>
          <w:spacing w:val="10"/>
          <w:sz w:val="32"/>
          <w:szCs w:val="32"/>
        </w:rPr>
        <w:t>可安全步行的最短距离</w:t>
      </w:r>
      <w:r>
        <w:rPr>
          <w:rFonts w:hint="eastAsia" w:ascii="仿宋_GB2312" w:hAnsi="仿宋_GB2312" w:eastAsia="仿宋_GB2312" w:cs="仿宋_GB2312"/>
          <w:sz w:val="32"/>
          <w:szCs w:val="32"/>
        </w:rPr>
        <w:t>。具体测量办法视有无交通信号灯、人行横道或过街设施的路段以及障碍物情况而定。（如图12.2）</w:t>
      </w:r>
    </w:p>
    <w:p>
      <w:pPr>
        <w:spacing w:line="360" w:lineRule="auto"/>
        <w:ind w:firstLine="640" w:firstLineChars="200"/>
        <w:jc w:val="center"/>
        <w:rPr>
          <w:rFonts w:ascii="仿宋_GB2312" w:hAnsi="仿宋_GB2312" w:eastAsia="仿宋_GB2312" w:cs="仿宋_GB2312"/>
          <w:sz w:val="32"/>
          <w:szCs w:val="32"/>
        </w:rPr>
      </w:pPr>
    </w:p>
    <w:p>
      <w:pPr>
        <w:spacing w:line="360" w:lineRule="auto"/>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drawing>
          <wp:inline distT="0" distB="0" distL="0" distR="0">
            <wp:extent cx="2657475" cy="2441575"/>
            <wp:effectExtent l="0" t="0" r="9525" b="0"/>
            <wp:docPr id="2866446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644646"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677368" cy="2459787"/>
                    </a:xfrm>
                    <a:prstGeom prst="rect">
                      <a:avLst/>
                    </a:prstGeom>
                    <a:noFill/>
                    <a:ln>
                      <a:noFill/>
                    </a:ln>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图12.2</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B.申请点与参照零售点位于十字路口对角位置的，且路口中间设有交通信号灯、人行横道或过街设施的，应按照交通规则，通过人行横道或过街设施，按申请点最近一侧门边至零售点最近一侧门边</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。（如图12.3存在多条线路取其中</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131185" cy="2522855"/>
            <wp:effectExtent l="0" t="0" r="12065" b="10795"/>
            <wp:docPr id="43" name="图片 43" descr="991a379882017bdd4fda0c6acf0b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991a379882017bdd4fda0c6acf0b3cf"/>
                    <pic:cNvPicPr>
                      <a:picLocks noChangeAspect="1"/>
                    </pic:cNvPicPr>
                  </pic:nvPicPr>
                  <pic:blipFill>
                    <a:blip r:embed="rId22"/>
                    <a:stretch>
                      <a:fillRect/>
                    </a:stretch>
                  </pic:blipFill>
                  <pic:spPr>
                    <a:xfrm>
                      <a:off x="0" y="0"/>
                      <a:ext cx="3131185" cy="2522855"/>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图12.3</w:t>
      </w:r>
    </w:p>
    <w:p>
      <w:pPr>
        <w:spacing w:line="360" w:lineRule="auto"/>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C.申请点与参照零售点位于十字路口对角位置，且路口中间未设有交通信号灯、人行横道或过街设施的，按申请点至零售点最近一侧的门边，测量</w:t>
      </w:r>
      <w:r>
        <w:rPr>
          <w:rFonts w:hint="eastAsia" w:ascii="仿宋_GB2312" w:hAnsi="仿宋_GB2312" w:eastAsia="仿宋_GB2312" w:cs="仿宋_GB2312"/>
          <w:spacing w:val="10"/>
          <w:sz w:val="32"/>
          <w:szCs w:val="32"/>
        </w:rPr>
        <w:t>可安全步行最短距离</w:t>
      </w:r>
      <w:r>
        <w:rPr>
          <w:rFonts w:hint="eastAsia" w:ascii="仿宋_GB2312" w:hAnsi="仿宋_GB2312" w:eastAsia="仿宋_GB2312" w:cs="仿宋_GB2312"/>
          <w:sz w:val="32"/>
          <w:szCs w:val="32"/>
        </w:rPr>
        <w:t>。（如图12.4存在多条线路，取其中一条</w:t>
      </w:r>
      <w:r>
        <w:rPr>
          <w:rFonts w:hint="eastAsia" w:ascii="仿宋_GB2312" w:hAnsi="仿宋_GB2312" w:eastAsia="仿宋_GB2312" w:cs="仿宋_GB2312"/>
          <w:spacing w:val="10"/>
          <w:sz w:val="32"/>
          <w:szCs w:val="32"/>
        </w:rPr>
        <w:t>可安全步行最短距离线路测量</w:t>
      </w:r>
      <w:r>
        <w:rPr>
          <w:rFonts w:hint="eastAsia" w:ascii="仿宋_GB2312" w:hAnsi="仿宋_GB2312" w:eastAsia="仿宋_GB2312" w:cs="仿宋_GB2312"/>
          <w:sz w:val="32"/>
          <w:szCs w:val="32"/>
        </w:rPr>
        <w:t>）</w:t>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drawing>
          <wp:inline distT="0" distB="0" distL="114300" distR="114300">
            <wp:extent cx="3330575" cy="2741930"/>
            <wp:effectExtent l="0" t="0" r="3175" b="1270"/>
            <wp:docPr id="46" name="图片 46" descr="9255d481f7a56990fb4032b60a1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9255d481f7a56990fb4032b60a15101"/>
                    <pic:cNvPicPr>
                      <a:picLocks noChangeAspect="1"/>
                    </pic:cNvPicPr>
                  </pic:nvPicPr>
                  <pic:blipFill>
                    <a:blip r:embed="rId23"/>
                    <a:stretch>
                      <a:fillRect/>
                    </a:stretch>
                  </pic:blipFill>
                  <pic:spPr>
                    <a:xfrm>
                      <a:off x="0" y="0"/>
                      <a:ext cx="3330575" cy="2741930"/>
                    </a:xfrm>
                    <a:prstGeom prst="rect">
                      <a:avLst/>
                    </a:prstGeom>
                  </pic:spPr>
                </pic:pic>
              </a:graphicData>
            </a:graphic>
          </wp:inline>
        </w:drawing>
      </w:r>
    </w:p>
    <w:p>
      <w:pPr>
        <w:spacing w:line="360" w:lineRule="auto"/>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图12.4</w:t>
      </w:r>
    </w:p>
    <w:p>
      <w:pPr>
        <w:pStyle w:val="3"/>
        <w:numPr>
          <w:ilvl w:val="0"/>
          <w:numId w:val="2"/>
        </w:numPr>
        <w:spacing w:after="0" w:line="360" w:lineRule="auto"/>
        <w:ind w:left="-10" w:leftChars="0" w:right="2" w:firstLine="680" w:firstLineChars="0"/>
        <w:jc w:val="left"/>
        <w:rPr>
          <w:rFonts w:ascii="仿宋_GB2312" w:hAnsi="仿宋_GB2312" w:eastAsia="仿宋_GB2312" w:cs="仿宋_GB2312"/>
          <w:spacing w:val="10"/>
          <w:sz w:val="32"/>
          <w:szCs w:val="32"/>
        </w:rPr>
      </w:pPr>
      <w:r>
        <w:rPr>
          <w:rFonts w:hint="eastAsia" w:ascii="仿宋_GB2312" w:hAnsi="仿宋_GB2312" w:eastAsia="仿宋_GB2312" w:cs="仿宋_GB2312"/>
          <w:spacing w:val="10"/>
          <w:sz w:val="32"/>
          <w:szCs w:val="32"/>
        </w:rPr>
        <w:t>封闭式小区内部、广场等区域零售点的间距测量方法均以原设计道路、人行通道正常安全步行的最短距离进行测量。</w:t>
      </w:r>
    </w:p>
    <w:p>
      <w:pPr>
        <w:pStyle w:val="3"/>
        <w:numPr>
          <w:ilvl w:val="0"/>
          <w:numId w:val="2"/>
        </w:numPr>
        <w:spacing w:after="0" w:line="360" w:lineRule="auto"/>
        <w:ind w:left="-10" w:leftChars="0" w:right="2" w:firstLine="680" w:firstLineChars="0"/>
        <w:jc w:val="left"/>
        <w:rPr>
          <w:rFonts w:ascii="仿宋_GB2312" w:hAnsi="黑体" w:eastAsia="仿宋_GB2312" w:cs="宋体"/>
          <w:sz w:val="32"/>
          <w:szCs w:val="32"/>
          <w:lang w:bidi="ug-CN"/>
        </w:rPr>
      </w:pPr>
      <w:r>
        <w:rPr>
          <w:rFonts w:hint="eastAsia" w:ascii="仿宋_GB2312" w:hAnsi="仿宋_GB2312" w:eastAsia="仿宋_GB2312" w:cs="仿宋_GB2312"/>
          <w:spacing w:val="10"/>
          <w:sz w:val="32"/>
          <w:szCs w:val="32"/>
        </w:rPr>
        <w:t>特殊地形测量：因地形、地貌或设计等原因导致道路、通道成不规则形态，通过前述方法无法测量的，以可安全步行最短距离进行测量。</w:t>
      </w: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p>
      <w:pPr>
        <w:rPr>
          <w:rFonts w:ascii="仿宋_GB2312" w:hAnsi="仿宋_GB2312" w:eastAsia="仿宋_GB2312" w:cs="仿宋_GB2312"/>
          <w:spacing w:val="10"/>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7596227-E237-48C8-A963-AB0E265260F4}"/>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embedRegular r:id="rId2" w:fontKey="{EF81EEA5-B161-48AC-8803-54EF52B8F3FD}"/>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2010609030101010101"/>
    <w:charset w:val="86"/>
    <w:family w:val="modern"/>
    <w:pitch w:val="default"/>
    <w:sig w:usb0="00000000" w:usb1="00000000" w:usb2="00000000" w:usb3="00000000" w:csb0="00040000" w:csb1="00000000"/>
    <w:embedRegular r:id="rId3" w:fontKey="{B36C8052-5A4F-446D-ABD8-D4ADCA3A40CF}"/>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pStyle w:val="4"/>
                      <w:rPr>
                        <w:rFonts w:ascii="宋体" w:hAnsi="宋体" w:cs="宋体"/>
                        <w:sz w:val="28"/>
                        <w:szCs w:val="28"/>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hint="eastAsia" w:ascii="宋体" w:hAnsi="宋体" w:cs="宋体"/>
                        <w:sz w:val="28"/>
                        <w:szCs w:val="28"/>
                      </w:rPr>
                      <w:t>- 1 -</w:t>
                    </w:r>
                    <w:r>
                      <w:rPr>
                        <w:rFonts w:hint="eastAsia" w:ascii="宋体" w:hAnsi="宋体" w:cs="宋体"/>
                        <w:sz w:val="28"/>
                        <w:szCs w:val="28"/>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33B175"/>
    <w:multiLevelType w:val="singleLevel"/>
    <w:tmpl w:val="8C33B175"/>
    <w:lvl w:ilvl="0" w:tentative="0">
      <w:start w:val="1"/>
      <w:numFmt w:val="chineseCounting"/>
      <w:suff w:val="nothing"/>
      <w:lvlText w:val="（%1）"/>
      <w:lvlJc w:val="left"/>
      <w:pPr>
        <w:ind w:left="0" w:firstLine="420"/>
      </w:pPr>
      <w:rPr>
        <w:rFonts w:hint="eastAsia"/>
      </w:rPr>
    </w:lvl>
  </w:abstractNum>
  <w:abstractNum w:abstractNumId="1">
    <w:nsid w:val="8D2C3E46"/>
    <w:multiLevelType w:val="singleLevel"/>
    <w:tmpl w:val="8D2C3E46"/>
    <w:lvl w:ilvl="0" w:tentative="0">
      <w:start w:val="1"/>
      <w:numFmt w:val="decimal"/>
      <w:suff w:val="nothing"/>
      <w:lvlText w:val="%1．"/>
      <w:lvlJc w:val="left"/>
      <w:pPr>
        <w:ind w:left="-10" w:firstLine="400"/>
      </w:pPr>
      <w:rPr>
        <w:rFonts w:hint="default"/>
        <w:sz w:val="32"/>
        <w:szCs w:val="32"/>
      </w:rPr>
    </w:lvl>
  </w:abstractNum>
  <w:abstractNum w:abstractNumId="2">
    <w:nsid w:val="434CEC37"/>
    <w:multiLevelType w:val="singleLevel"/>
    <w:tmpl w:val="434CEC37"/>
    <w:lvl w:ilvl="0" w:tentative="0">
      <w:start w:val="1"/>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RlZDU0YzEyOWY0MjQ2ZTIzMTAxNTJmZTE0OTM0ZWYifQ=="/>
  </w:docVars>
  <w:rsids>
    <w:rsidRoot w:val="0CE14AE9"/>
    <w:rsid w:val="00152391"/>
    <w:rsid w:val="00227820"/>
    <w:rsid w:val="002C1A21"/>
    <w:rsid w:val="002E27FB"/>
    <w:rsid w:val="00307A95"/>
    <w:rsid w:val="00325A98"/>
    <w:rsid w:val="00397B97"/>
    <w:rsid w:val="004C5AE1"/>
    <w:rsid w:val="00501EE6"/>
    <w:rsid w:val="00520897"/>
    <w:rsid w:val="00575AA6"/>
    <w:rsid w:val="005E32BD"/>
    <w:rsid w:val="00617CE0"/>
    <w:rsid w:val="00647CF2"/>
    <w:rsid w:val="0079626F"/>
    <w:rsid w:val="008B067E"/>
    <w:rsid w:val="008D1DCA"/>
    <w:rsid w:val="00943A43"/>
    <w:rsid w:val="00A37F5E"/>
    <w:rsid w:val="00AD5C72"/>
    <w:rsid w:val="00B559E6"/>
    <w:rsid w:val="00B62E80"/>
    <w:rsid w:val="00B8146C"/>
    <w:rsid w:val="00B912EC"/>
    <w:rsid w:val="00C34E35"/>
    <w:rsid w:val="00C638F2"/>
    <w:rsid w:val="00E02AED"/>
    <w:rsid w:val="00ED00B4"/>
    <w:rsid w:val="00F03F5C"/>
    <w:rsid w:val="00F37965"/>
    <w:rsid w:val="012B68C7"/>
    <w:rsid w:val="0196601E"/>
    <w:rsid w:val="01B14C06"/>
    <w:rsid w:val="03B66504"/>
    <w:rsid w:val="045126D0"/>
    <w:rsid w:val="04C80BE4"/>
    <w:rsid w:val="05065269"/>
    <w:rsid w:val="05810E3E"/>
    <w:rsid w:val="066C00DC"/>
    <w:rsid w:val="084C7436"/>
    <w:rsid w:val="08912FDE"/>
    <w:rsid w:val="08FB6939"/>
    <w:rsid w:val="095119BA"/>
    <w:rsid w:val="096B7D90"/>
    <w:rsid w:val="098114A1"/>
    <w:rsid w:val="0A041F36"/>
    <w:rsid w:val="0A2A2F14"/>
    <w:rsid w:val="0AAF4780"/>
    <w:rsid w:val="0AC459AA"/>
    <w:rsid w:val="0B097A9F"/>
    <w:rsid w:val="0C1977CA"/>
    <w:rsid w:val="0CE14AE9"/>
    <w:rsid w:val="0CF32810"/>
    <w:rsid w:val="0D8B0A01"/>
    <w:rsid w:val="0DB8556E"/>
    <w:rsid w:val="0DCF4D92"/>
    <w:rsid w:val="0DFF319D"/>
    <w:rsid w:val="0E83705F"/>
    <w:rsid w:val="0EDB32C2"/>
    <w:rsid w:val="0EF36D83"/>
    <w:rsid w:val="0F384BB8"/>
    <w:rsid w:val="0F515481"/>
    <w:rsid w:val="104B4477"/>
    <w:rsid w:val="106A2B50"/>
    <w:rsid w:val="1088747A"/>
    <w:rsid w:val="1151658F"/>
    <w:rsid w:val="12247EEE"/>
    <w:rsid w:val="12A670A0"/>
    <w:rsid w:val="12C97CF4"/>
    <w:rsid w:val="13BA5B9C"/>
    <w:rsid w:val="14DC1959"/>
    <w:rsid w:val="1554671D"/>
    <w:rsid w:val="16610551"/>
    <w:rsid w:val="1682483D"/>
    <w:rsid w:val="17027C18"/>
    <w:rsid w:val="17740758"/>
    <w:rsid w:val="17C074F9"/>
    <w:rsid w:val="184323A2"/>
    <w:rsid w:val="187A1D9E"/>
    <w:rsid w:val="19A21ADA"/>
    <w:rsid w:val="19AC242B"/>
    <w:rsid w:val="1A0D279E"/>
    <w:rsid w:val="1A174234"/>
    <w:rsid w:val="1A312E6E"/>
    <w:rsid w:val="1AC35C7E"/>
    <w:rsid w:val="1B37398D"/>
    <w:rsid w:val="1B417C20"/>
    <w:rsid w:val="1BC872C4"/>
    <w:rsid w:val="1D670577"/>
    <w:rsid w:val="1D840AB4"/>
    <w:rsid w:val="1E0A0871"/>
    <w:rsid w:val="1E562965"/>
    <w:rsid w:val="1F334A54"/>
    <w:rsid w:val="1F63002C"/>
    <w:rsid w:val="1F6637FD"/>
    <w:rsid w:val="1FB47B48"/>
    <w:rsid w:val="209669C5"/>
    <w:rsid w:val="210963B5"/>
    <w:rsid w:val="21D90C4B"/>
    <w:rsid w:val="22B57588"/>
    <w:rsid w:val="22CC58EC"/>
    <w:rsid w:val="232E02C0"/>
    <w:rsid w:val="23403BE4"/>
    <w:rsid w:val="235C20D3"/>
    <w:rsid w:val="23AD1279"/>
    <w:rsid w:val="245711E5"/>
    <w:rsid w:val="24D8668B"/>
    <w:rsid w:val="254148C2"/>
    <w:rsid w:val="25E66CC5"/>
    <w:rsid w:val="26695200"/>
    <w:rsid w:val="26AF3988"/>
    <w:rsid w:val="272555CB"/>
    <w:rsid w:val="280E2D78"/>
    <w:rsid w:val="28130CBB"/>
    <w:rsid w:val="287B3E4C"/>
    <w:rsid w:val="289C18BC"/>
    <w:rsid w:val="29450C10"/>
    <w:rsid w:val="2ACA0963"/>
    <w:rsid w:val="2B9D1BD3"/>
    <w:rsid w:val="2BFD175E"/>
    <w:rsid w:val="2C81312E"/>
    <w:rsid w:val="2E051CB2"/>
    <w:rsid w:val="2F55454E"/>
    <w:rsid w:val="2FEF37D6"/>
    <w:rsid w:val="301A2346"/>
    <w:rsid w:val="31232B7B"/>
    <w:rsid w:val="312B1A2F"/>
    <w:rsid w:val="312B3E67"/>
    <w:rsid w:val="3216623C"/>
    <w:rsid w:val="329F4483"/>
    <w:rsid w:val="32D0288E"/>
    <w:rsid w:val="34160775"/>
    <w:rsid w:val="341E0F18"/>
    <w:rsid w:val="3482405C"/>
    <w:rsid w:val="34A42225"/>
    <w:rsid w:val="352168DB"/>
    <w:rsid w:val="364F61C0"/>
    <w:rsid w:val="388E7705"/>
    <w:rsid w:val="38F85F83"/>
    <w:rsid w:val="391F00CC"/>
    <w:rsid w:val="3A0948D8"/>
    <w:rsid w:val="3A39340F"/>
    <w:rsid w:val="3AA7481D"/>
    <w:rsid w:val="3B310502"/>
    <w:rsid w:val="3B9B7648"/>
    <w:rsid w:val="3B9D0B1E"/>
    <w:rsid w:val="3BE60F73"/>
    <w:rsid w:val="3BF16211"/>
    <w:rsid w:val="3C0A2369"/>
    <w:rsid w:val="3C2B6D87"/>
    <w:rsid w:val="3CB530E9"/>
    <w:rsid w:val="3D65451B"/>
    <w:rsid w:val="3DD11BB1"/>
    <w:rsid w:val="3DDB5C3E"/>
    <w:rsid w:val="3E80785E"/>
    <w:rsid w:val="3F373C95"/>
    <w:rsid w:val="3F6F15E7"/>
    <w:rsid w:val="401D10DD"/>
    <w:rsid w:val="408D0FB0"/>
    <w:rsid w:val="40E514C7"/>
    <w:rsid w:val="413466DE"/>
    <w:rsid w:val="413F7AA0"/>
    <w:rsid w:val="415C331A"/>
    <w:rsid w:val="41984A97"/>
    <w:rsid w:val="419E1DAA"/>
    <w:rsid w:val="41D50910"/>
    <w:rsid w:val="41F66BBF"/>
    <w:rsid w:val="42B6714C"/>
    <w:rsid w:val="430B26E7"/>
    <w:rsid w:val="434075BC"/>
    <w:rsid w:val="43D9356D"/>
    <w:rsid w:val="43F9776B"/>
    <w:rsid w:val="442E38B9"/>
    <w:rsid w:val="44E0180C"/>
    <w:rsid w:val="44FE772F"/>
    <w:rsid w:val="45471A31"/>
    <w:rsid w:val="45D24718"/>
    <w:rsid w:val="47D82119"/>
    <w:rsid w:val="480C2163"/>
    <w:rsid w:val="48BD345D"/>
    <w:rsid w:val="497167BC"/>
    <w:rsid w:val="49751537"/>
    <w:rsid w:val="49BC54C3"/>
    <w:rsid w:val="4A1672C9"/>
    <w:rsid w:val="4A2731F0"/>
    <w:rsid w:val="4A600544"/>
    <w:rsid w:val="4A767D68"/>
    <w:rsid w:val="4A7D4746"/>
    <w:rsid w:val="4A8A3813"/>
    <w:rsid w:val="4C800A2A"/>
    <w:rsid w:val="4DA223BC"/>
    <w:rsid w:val="4DD3168B"/>
    <w:rsid w:val="4DED6593"/>
    <w:rsid w:val="4E1A5D98"/>
    <w:rsid w:val="4E813FBD"/>
    <w:rsid w:val="4E8A7EF1"/>
    <w:rsid w:val="4E9E163B"/>
    <w:rsid w:val="4EFD1038"/>
    <w:rsid w:val="4FBA06F6"/>
    <w:rsid w:val="505045CF"/>
    <w:rsid w:val="507A1C33"/>
    <w:rsid w:val="50854B05"/>
    <w:rsid w:val="516528E4"/>
    <w:rsid w:val="52974D1F"/>
    <w:rsid w:val="52E63C2F"/>
    <w:rsid w:val="546649A9"/>
    <w:rsid w:val="54F123D6"/>
    <w:rsid w:val="556752C9"/>
    <w:rsid w:val="55C17B58"/>
    <w:rsid w:val="55FB55C5"/>
    <w:rsid w:val="561346BC"/>
    <w:rsid w:val="563F3769"/>
    <w:rsid w:val="56665134"/>
    <w:rsid w:val="56AB65F6"/>
    <w:rsid w:val="57A001D2"/>
    <w:rsid w:val="5816571C"/>
    <w:rsid w:val="588653B2"/>
    <w:rsid w:val="58F10BED"/>
    <w:rsid w:val="58FF660A"/>
    <w:rsid w:val="59A56833"/>
    <w:rsid w:val="59DF76D7"/>
    <w:rsid w:val="5A533C21"/>
    <w:rsid w:val="5A946B2A"/>
    <w:rsid w:val="5AB50438"/>
    <w:rsid w:val="5ADD173D"/>
    <w:rsid w:val="5AE66844"/>
    <w:rsid w:val="5B500161"/>
    <w:rsid w:val="5B973A7B"/>
    <w:rsid w:val="5C3830CF"/>
    <w:rsid w:val="5C70230F"/>
    <w:rsid w:val="5C875959"/>
    <w:rsid w:val="5CA802EC"/>
    <w:rsid w:val="5CD172D6"/>
    <w:rsid w:val="5D5B1CA2"/>
    <w:rsid w:val="5D7C523D"/>
    <w:rsid w:val="5DD72473"/>
    <w:rsid w:val="5E076966"/>
    <w:rsid w:val="5E8F0FA0"/>
    <w:rsid w:val="5EB86749"/>
    <w:rsid w:val="5EF01A3F"/>
    <w:rsid w:val="5F5C0E82"/>
    <w:rsid w:val="5F9F5213"/>
    <w:rsid w:val="603B14CB"/>
    <w:rsid w:val="61111041"/>
    <w:rsid w:val="611834CF"/>
    <w:rsid w:val="61881DC3"/>
    <w:rsid w:val="627666FF"/>
    <w:rsid w:val="62F31AFE"/>
    <w:rsid w:val="6393508F"/>
    <w:rsid w:val="64153CF6"/>
    <w:rsid w:val="642108EC"/>
    <w:rsid w:val="64CF4144"/>
    <w:rsid w:val="65006BB0"/>
    <w:rsid w:val="674C7A2E"/>
    <w:rsid w:val="67554111"/>
    <w:rsid w:val="681349F0"/>
    <w:rsid w:val="683360D4"/>
    <w:rsid w:val="6953779A"/>
    <w:rsid w:val="69912070"/>
    <w:rsid w:val="6A4D243B"/>
    <w:rsid w:val="6B0F5943"/>
    <w:rsid w:val="6B690BC8"/>
    <w:rsid w:val="6BEA5A68"/>
    <w:rsid w:val="6C28360B"/>
    <w:rsid w:val="6C3311BD"/>
    <w:rsid w:val="6C6132BE"/>
    <w:rsid w:val="6C71128E"/>
    <w:rsid w:val="6CB10D5A"/>
    <w:rsid w:val="6D821C9F"/>
    <w:rsid w:val="6DFA1AA7"/>
    <w:rsid w:val="6F1F1ECC"/>
    <w:rsid w:val="6F3239AE"/>
    <w:rsid w:val="6F394D3C"/>
    <w:rsid w:val="719C3CEC"/>
    <w:rsid w:val="733028FA"/>
    <w:rsid w:val="73AA7753"/>
    <w:rsid w:val="7590179A"/>
    <w:rsid w:val="75E308CD"/>
    <w:rsid w:val="76764AC8"/>
    <w:rsid w:val="768D24F5"/>
    <w:rsid w:val="76FA1255"/>
    <w:rsid w:val="770A5210"/>
    <w:rsid w:val="77D53A70"/>
    <w:rsid w:val="77DF4340"/>
    <w:rsid w:val="783C294D"/>
    <w:rsid w:val="785126AD"/>
    <w:rsid w:val="78BF3F4F"/>
    <w:rsid w:val="78C167FC"/>
    <w:rsid w:val="79094DAE"/>
    <w:rsid w:val="790A1A19"/>
    <w:rsid w:val="79F0693F"/>
    <w:rsid w:val="7A7C3B0B"/>
    <w:rsid w:val="7AA72953"/>
    <w:rsid w:val="7B551150"/>
    <w:rsid w:val="7BA06143"/>
    <w:rsid w:val="7BFE4205"/>
    <w:rsid w:val="7C333D17"/>
    <w:rsid w:val="7CF92AA5"/>
    <w:rsid w:val="7D1A0699"/>
    <w:rsid w:val="7D83313F"/>
    <w:rsid w:val="7E617E0B"/>
    <w:rsid w:val="7E6F1870"/>
    <w:rsid w:val="7EFF26CC"/>
    <w:rsid w:val="7F8551CC"/>
    <w:rsid w:val="7FB126CD"/>
    <w:rsid w:val="93D34688"/>
    <w:rsid w:val="A2D98B94"/>
    <w:rsid w:val="FAEFB9DD"/>
    <w:rsid w:val="FF7774A0"/>
    <w:rsid w:val="FFCE6C3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unhideWhenUsed/>
    <w:qFormat/>
    <w:uiPriority w:val="0"/>
    <w:pPr>
      <w:spacing w:after="120"/>
    </w:pPr>
  </w:style>
  <w:style w:type="paragraph" w:styleId="4">
    <w:name w:val="footer"/>
    <w:basedOn w:val="1"/>
    <w:qFormat/>
    <w:uiPriority w:val="99"/>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Title"/>
    <w:basedOn w:val="1"/>
    <w:next w:val="1"/>
    <w:qFormat/>
    <w:uiPriority w:val="10"/>
    <w:pPr>
      <w:spacing w:before="120" w:after="120"/>
      <w:jc w:val="center"/>
      <w:outlineLvl w:val="0"/>
    </w:pPr>
    <w:rPr>
      <w:rFonts w:ascii="微软雅黑" w:hAnsi="等线 Light" w:eastAsia="微软雅黑"/>
      <w:sz w:val="44"/>
      <w:szCs w:val="44"/>
    </w:rPr>
  </w:style>
  <w:style w:type="character" w:styleId="9">
    <w:name w:val="page number"/>
    <w:basedOn w:val="8"/>
    <w:qFormat/>
    <w:uiPriority w:val="0"/>
  </w:style>
  <w:style w:type="character" w:styleId="10">
    <w:name w:val="Emphasis"/>
    <w:basedOn w:val="8"/>
    <w:qFormat/>
    <w:uiPriority w:val="0"/>
    <w:rPr>
      <w:i/>
    </w:rPr>
  </w:style>
  <w:style w:type="paragraph" w:styleId="11">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6" Type="http://schemas.openxmlformats.org/officeDocument/2006/relationships/fontTable" Target="fontTable.xml"/><Relationship Id="rId25" Type="http://schemas.openxmlformats.org/officeDocument/2006/relationships/numbering" Target="numbering.xml"/><Relationship Id="rId24" Type="http://schemas.openxmlformats.org/officeDocument/2006/relationships/customXml" Target="../customXml/item1.xml"/><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2357</Words>
  <Characters>2462</Characters>
  <Lines>18</Lines>
  <Paragraphs>5</Paragraphs>
  <TotalTime>21</TotalTime>
  <ScaleCrop>false</ScaleCrop>
  <LinksUpToDate>false</LinksUpToDate>
  <CharactersWithSpaces>2463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2023-12-13T01:21:00Z</dcterms:created>
  <dc:creator>R</dc:creator>
  <cp:lastModifiedBy>马嵘</cp:lastModifiedBy>
  <dcterms:modified xsi:type="dcterms:W3CDTF">2024-08-05T06:12:43Z</dcterms:modified>
  <cp:revision>16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DECEB66CC02448BCB084EB63CB5B1A43_13</vt:lpwstr>
  </property>
</Properties>
</file>