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关于第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十五</w:t>
      </w:r>
      <w:r>
        <w:rPr>
          <w:rFonts w:hint="eastAsia" w:ascii="宋体" w:hAnsi="宋体" w:eastAsia="方正小标宋简体"/>
          <w:sz w:val="44"/>
          <w:szCs w:val="44"/>
        </w:rPr>
        <w:t>届人大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第四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次</w:t>
      </w:r>
      <w:r>
        <w:rPr>
          <w:rFonts w:hint="eastAsia" w:ascii="宋体" w:hAnsi="宋体" w:eastAsia="方正小标宋简体"/>
          <w:sz w:val="44"/>
          <w:szCs w:val="44"/>
        </w:rPr>
        <w:t>会议</w:t>
      </w:r>
    </w:p>
    <w:p>
      <w:pPr>
        <w:spacing w:line="60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第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2024207</w:t>
      </w:r>
      <w:r>
        <w:rPr>
          <w:rFonts w:hint="eastAsia" w:ascii="宋体" w:hAnsi="宋体" w:eastAsia="方正小标宋简体"/>
          <w:sz w:val="44"/>
          <w:szCs w:val="44"/>
        </w:rPr>
        <w:t>号建议</w:t>
      </w:r>
      <w:r>
        <w:rPr>
          <w:rFonts w:hint="eastAsia" w:ascii="宋体" w:hAnsi="宋体" w:eastAsia="方正小标宋简体" w:cs="方正小标宋简体"/>
          <w:sz w:val="44"/>
          <w:szCs w:val="44"/>
        </w:rPr>
        <w:t>的答复</w:t>
      </w:r>
    </w:p>
    <w:p>
      <w:pPr>
        <w:spacing w:line="600" w:lineRule="exact"/>
        <w:rPr>
          <w:rFonts w:ascii="宋体" w:hAnsi="宋体" w:eastAsia="方正仿宋_GBK"/>
          <w:sz w:val="32"/>
          <w:szCs w:val="32"/>
        </w:rPr>
      </w:pPr>
    </w:p>
    <w:p>
      <w:pPr>
        <w:spacing w:line="600" w:lineRule="exact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  <w:lang w:eastAsia="zh-CN"/>
        </w:rPr>
        <w:t>自莉华代表</w:t>
      </w:r>
      <w:r>
        <w:rPr>
          <w:rFonts w:hint="eastAsia" w:ascii="宋体" w:hAnsi="宋体" w:eastAsia="方正仿宋_GBK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您提出的《关于在县城规划建设直饮水供水网的建议》交我们办理，现将有关情况答复如下：</w:t>
      </w:r>
    </w:p>
    <w:p>
      <w:pPr>
        <w:spacing w:line="600" w:lineRule="exact"/>
        <w:ind w:firstLine="640" w:firstLineChars="200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一、办理工作开展情况</w:t>
      </w:r>
    </w:p>
    <w:p>
      <w:pPr>
        <w:pStyle w:val="2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我们始终坚持以人民为中心的发展思想，高度重视水环境质量改善和保障饮用水安全工作，全面、系统加强城市供水工作，扎实推进公共供水管网改造及居民供水改造等工作，全州城市公共供水普及率达99.89%，南涧县城市公共供水普及率达100%。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推进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直饮水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管网设施建设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具有现实意义，是普惠民众的民心工程。各县市因地制宜推进</w:t>
      </w: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直饮水设施建设，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取得了一定的成效。</w:t>
      </w:r>
    </w:p>
    <w:p>
      <w:pPr>
        <w:spacing w:line="600" w:lineRule="exact"/>
        <w:ind w:firstLine="640" w:firstLineChars="200"/>
        <w:rPr>
          <w:rFonts w:hint="default" w:ascii="宋体" w:hAnsi="宋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二、关于建议中反映的问题</w:t>
      </w:r>
    </w:p>
    <w:p>
      <w:pPr>
        <w:spacing w:line="600" w:lineRule="exact"/>
        <w:ind w:firstLine="640" w:firstLineChars="200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关于县城入户自来水产生二次污染问题，我们的意见是，一是</w:t>
      </w:r>
      <w:r>
        <w:rPr>
          <w:rFonts w:hint="default" w:ascii="宋体" w:hAnsi="宋体" w:eastAsia="方正仿宋简体" w:cs="方正仿宋简体"/>
          <w:sz w:val="32"/>
          <w:szCs w:val="32"/>
          <w:lang w:val="en-US" w:eastAsia="zh-CN"/>
        </w:rPr>
        <w:t>升级改造水厂工艺。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对照《生活饮用水卫生标准》（GB 5749-2022）要求，开展水厂净水工艺和出水水质达标能力复核。需要改造的，按照国家和行业工程建设标准、卫生规范要求有序实施升级改造。二是加强供水管网建设与改造。新建供水管网严格按照有关标准和规范规划建设，采用先进适用、质量可靠、符合卫生规范的供水管材和施工工艺。对影响供水水质、妨害供水安全、漏损严重的劣质管材管道，结合地下管线改造、城市更新、老旧小区改造、二次供水设施改造和“一户一表”改造等，加快更新改造。三是推进居民加压调蓄设施统筹管理。鼓励新建居民住宅的加压调蓄设施同步建设消毒剂余量、浊度等水质指标监测设施，统筹布局建设消毒设施。既有加压调蓄设施不符合卫生和工程建设标准规范的，加快实施更新改造。四是加强供水水质检测。联合疾病预防控制部门按照《生活饮用水卫生监督管理办法》，加强水质卫生监测，有效监测城区集中式供水、二次供水的卫生管理情况及供水水质情况。按照《城市给水工程项目规范》和《城市供水水质标准》，定期检测城市水源水、出厂水和管网末梢水的水质，全力保障供水水质安全。</w:t>
      </w:r>
    </w:p>
    <w:p>
      <w:pPr>
        <w:spacing w:line="600" w:lineRule="exact"/>
        <w:ind w:firstLine="640" w:firstLineChars="200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三、关于建议内容的逐条答复</w:t>
      </w:r>
    </w:p>
    <w:p>
      <w:pPr>
        <w:spacing w:line="600" w:lineRule="exact"/>
        <w:ind w:firstLine="640" w:firstLineChars="200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关于在县城推行管道直饮水，我们的办理意见，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结合各县市实际，组织对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直饮水项目进行了调研，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研究推广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直饮水项目经营模式。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引进社会资本参与，按照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试点先行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，推动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直饮水工程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通过试点项目的建设，不断总结经验，逐步推进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各县市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直饮水系统建设。现阶段，直饮水相关工作还处于摸索期，缺乏国家、地方相关政策和标准的引导。管道直饮水的建设、运营管理没有相关政策给予支持，市场成熟度不够。缺乏技术标准和工程规范，导致实施管道直饮水处理工艺不尽相同，特别是消毒方法的选取上也存在差异。管道直饮水建设因全部采用食品级不锈钢循环管网和膜处理工艺，存在资金投入较大成本较高、回报周期长，企业无法独立承担。管道直饮水不在发改部门的定价目录中，政府部门无权对管道直饮水进行价格确定，直饮水价格由企业与用户协商确定，大面积推广存在困难。</w:t>
      </w:r>
    </w:p>
    <w:p>
      <w:pPr>
        <w:spacing w:line="600" w:lineRule="exact"/>
        <w:ind w:firstLine="640" w:firstLineChars="200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下步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工作中，我们将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强化统筹，加强顶层设计。积极探索研究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直饮水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施工规范、水质标准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及定价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等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工作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，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鼓励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新建住宅同步配套管道直饮水系统，逐步实现在政府、机关、医院、中小学等管道直饮水的覆盖，为推动管道直饮水建设打下坚实基础。会同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市场监管等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相关部门进一步规范</w:t>
      </w:r>
      <w:r>
        <w:rPr>
          <w:rFonts w:hint="default" w:ascii="宋体" w:hAnsi="宋体" w:eastAsia="方正仿宋简体" w:cs="方正仿宋简体"/>
          <w:sz w:val="32"/>
          <w:szCs w:val="32"/>
          <w:lang w:eastAsia="zh-CN"/>
        </w:rPr>
        <w:t>桶装水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市场，进一步提升居民饮水品质。</w:t>
      </w:r>
      <w:r>
        <w:rPr>
          <w:rFonts w:hint="eastAsia" w:ascii="宋体" w:hAnsi="宋体" w:eastAsia="方正仿宋_GBK"/>
          <w:sz w:val="32"/>
          <w:szCs w:val="32"/>
        </w:rPr>
        <w:t>感谢对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我们</w:t>
      </w:r>
      <w:r>
        <w:rPr>
          <w:rFonts w:hint="eastAsia" w:ascii="宋体" w:hAnsi="宋体" w:eastAsia="方正仿宋_GBK"/>
          <w:sz w:val="32"/>
          <w:szCs w:val="32"/>
        </w:rPr>
        <w:t>工作的理解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和</w:t>
      </w:r>
      <w:r>
        <w:rPr>
          <w:rFonts w:hint="eastAsia" w:ascii="宋体" w:hAnsi="宋体" w:eastAsia="方正仿宋_GBK"/>
          <w:sz w:val="32"/>
          <w:szCs w:val="32"/>
        </w:rPr>
        <w:t>支持，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希望</w:t>
      </w:r>
      <w:r>
        <w:rPr>
          <w:rFonts w:hint="eastAsia" w:ascii="宋体" w:hAnsi="宋体" w:eastAsia="方正仿宋_GBK"/>
          <w:sz w:val="32"/>
          <w:szCs w:val="32"/>
        </w:rPr>
        <w:t>提出更多更宝贵的意见和建议。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0000FF"/>
          <w:sz w:val="32"/>
          <w:szCs w:val="32"/>
          <w:lang w:val="en-US" w:eastAsia="zh-CN"/>
        </w:rPr>
      </w:pPr>
    </w:p>
    <w:p>
      <w:pPr>
        <w:pStyle w:val="10"/>
        <w:rPr>
          <w:rFonts w:hint="eastAsia" w:ascii="宋体" w:hAnsi="宋体" w:eastAsia="方正仿宋_GBK"/>
          <w:color w:val="0000FF"/>
          <w:sz w:val="32"/>
          <w:szCs w:val="32"/>
        </w:rPr>
      </w:pPr>
    </w:p>
    <w:p>
      <w:pPr>
        <w:pStyle w:val="10"/>
        <w:rPr>
          <w:rFonts w:hint="eastAsia" w:ascii="宋体" w:hAnsi="宋体" w:eastAsia="方正仿宋_GBK"/>
          <w:sz w:val="32"/>
          <w:szCs w:val="32"/>
        </w:rPr>
      </w:pPr>
    </w:p>
    <w:p>
      <w:pPr>
        <w:pStyle w:val="10"/>
        <w:jc w:val="center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          </w:t>
      </w:r>
      <w:r>
        <w:rPr>
          <w:rFonts w:hint="eastAsia" w:ascii="宋体" w:hAnsi="宋体" w:eastAsia="方正仿宋_GBK"/>
          <w:sz w:val="32"/>
          <w:szCs w:val="32"/>
        </w:rPr>
        <w:t>202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方正仿宋_GBK"/>
          <w:sz w:val="32"/>
          <w:szCs w:val="32"/>
        </w:rPr>
        <w:t>年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方正仿宋_GBK"/>
          <w:sz w:val="32"/>
          <w:szCs w:val="32"/>
        </w:rPr>
        <w:t>月</w:t>
      </w:r>
      <w:r>
        <w:rPr>
          <w:rFonts w:hint="default" w:ascii="宋体" w:hAnsi="宋体" w:eastAsia="方正仿宋_GBK"/>
          <w:sz w:val="32"/>
          <w:szCs w:val="32"/>
          <w:lang w:eastAsia="zh-CN"/>
        </w:rPr>
        <w:t>2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方正仿宋_GBK"/>
          <w:sz w:val="32"/>
          <w:szCs w:val="32"/>
        </w:rPr>
        <w:t>日</w:t>
      </w:r>
    </w:p>
    <w:p>
      <w:pPr>
        <w:pStyle w:val="10"/>
        <w:ind w:left="0" w:leftChars="0" w:firstLine="0" w:firstLineChars="0"/>
        <w:jc w:val="both"/>
        <w:rPr>
          <w:rFonts w:hint="eastAsia" w:ascii="宋体" w:hAnsi="宋体" w:eastAsia="方正仿宋_GBK"/>
          <w:sz w:val="32"/>
          <w:szCs w:val="32"/>
        </w:rPr>
      </w:pPr>
    </w:p>
    <w:sectPr>
      <w:pgSz w:w="11906" w:h="16838"/>
      <w:pgMar w:top="1984" w:right="1587" w:bottom="1701" w:left="1587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46E"/>
    <w:rsid w:val="000C53E8"/>
    <w:rsid w:val="00180B91"/>
    <w:rsid w:val="0032746E"/>
    <w:rsid w:val="003519FD"/>
    <w:rsid w:val="00367D7C"/>
    <w:rsid w:val="005B6BB6"/>
    <w:rsid w:val="007F64D3"/>
    <w:rsid w:val="00A14B07"/>
    <w:rsid w:val="00AF4945"/>
    <w:rsid w:val="00BD5880"/>
    <w:rsid w:val="00BE10B0"/>
    <w:rsid w:val="00BF33C1"/>
    <w:rsid w:val="00C37870"/>
    <w:rsid w:val="00D85A70"/>
    <w:rsid w:val="00DD6E05"/>
    <w:rsid w:val="00E73EAB"/>
    <w:rsid w:val="032E58EA"/>
    <w:rsid w:val="06290A2F"/>
    <w:rsid w:val="09F43605"/>
    <w:rsid w:val="0D4E6B3A"/>
    <w:rsid w:val="1E4858AF"/>
    <w:rsid w:val="24850440"/>
    <w:rsid w:val="35B95426"/>
    <w:rsid w:val="36900934"/>
    <w:rsid w:val="38C543F7"/>
    <w:rsid w:val="3A440D23"/>
    <w:rsid w:val="4C0B5E4D"/>
    <w:rsid w:val="4DF24070"/>
    <w:rsid w:val="654C1CE9"/>
    <w:rsid w:val="6F1737E0"/>
    <w:rsid w:val="74F519D6"/>
    <w:rsid w:val="7E6D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paragraph" w:customStyle="1" w:styleId="10">
    <w:name w:val="Normal Indent1"/>
    <w:basedOn w:val="1"/>
    <w:qFormat/>
    <w:uiPriority w:val="0"/>
    <w:pPr>
      <w:ind w:firstLine="420" w:firstLineChars="200"/>
    </w:pPr>
    <w:rPr>
      <w:rFonts w:asciiTheme="minorHAnsi" w:hAnsiTheme="minorHAnsi" w:eastAsiaTheme="minorEastAsia"/>
      <w:sz w:val="21"/>
    </w:rPr>
  </w:style>
  <w:style w:type="character" w:customStyle="1" w:styleId="11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77</Words>
  <Characters>440</Characters>
  <Lines>3</Lines>
  <Paragraphs>1</Paragraphs>
  <TotalTime>765</TotalTime>
  <ScaleCrop>false</ScaleCrop>
  <LinksUpToDate>false</LinksUpToDate>
  <CharactersWithSpaces>516</CharactersWithSpaces>
  <Application>WPS Office_11.8.6.11020_F1E327BC-269C-435d-A152-05C5408002CA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2022-06-07T08:57:00Z</dcterms:created>
  <dc:creator>Administrator</dc:creator>
  <cp:lastModifiedBy>Administrator</cp:lastModifiedBy>
  <cp:lastPrinted>2024-06-25T11:46:30Z</cp:lastPrinted>
  <dcterms:modified xsi:type="dcterms:W3CDTF">2024-06-26T00:39:45Z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2052-11.8.6.11020</vt:lpwstr>
  </property>
  <property fmtid="{D5CDD505-2E9C-101B-9397-08002B2CF9AE}" pid="3" name="ICV">
    <vt:lpwstr>398EE31D5B9F4920AA09C5E698026B09</vt:lpwstr>
  </property>
</Properties>
</file>